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8" w:rsidRPr="00ED0D99" w:rsidRDefault="002A537B" w:rsidP="00ED0D99">
      <w:pPr>
        <w:pStyle w:val="Heading1"/>
        <w:spacing w:after="264"/>
        <w:ind w:left="-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Детската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</w:p>
    <w:p w:rsidR="00541D98" w:rsidRPr="00ED0D99" w:rsidRDefault="002A537B" w:rsidP="00ED0D99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Философията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психолога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Фроид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основана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повечето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идват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възпитанието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продиктувани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преживяванията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първите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Мъчителния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опит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придобит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първите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детствот</w:t>
      </w:r>
      <w:r w:rsidRPr="00ED0D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пъти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подтиснат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проявява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развитието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установено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последните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насъбрани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ранното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детство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Всъщност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предпазно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</w:t>
      </w:r>
      <w:r w:rsidRPr="00ED0D99"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специфични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случаи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изключение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разбира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нелогичните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преживее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неприятно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продиктувано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стимул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тенденция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същия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стимул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стимулът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наистина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болезнен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остър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нож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опита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избегне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изгради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самозащита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такива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страхът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помага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справя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0" w:line="238" w:lineRule="auto"/>
        <w:ind w:left="-5"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отнася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бебетата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психолози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още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спорят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неволни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рефлекси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възприемат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продукт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несъзнателни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рефлекса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: (1)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стряскане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внезапно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стресне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непознат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звук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допир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усещане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падане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и (2)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рязко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отдръпване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отдръпва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болка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неволно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физи</w:t>
      </w:r>
      <w:r w:rsidRPr="00ED0D99">
        <w:rPr>
          <w:rFonts w:ascii="Times New Roman" w:hAnsi="Times New Roman" w:cs="Times New Roman"/>
          <w:sz w:val="28"/>
          <w:szCs w:val="28"/>
        </w:rPr>
        <w:t>чески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болезнен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стимул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какъвто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допир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топъл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).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277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ED0D9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намаляват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продиктувано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житейския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опит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Въпреки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оправдани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ухапването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кучета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свирепи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животни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повечето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продиктувани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фантазията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призраци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чудовища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появяват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сънищата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повечето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тъмното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остават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сами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стаята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D0D9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въздействат</w:t>
      </w:r>
      <w:proofErr w:type="spellEnd"/>
      <w:proofErr w:type="gram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лягане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случва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обикновено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вечер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филм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ужасите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въобръжение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достига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такива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размери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повярват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действителното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съществуване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видели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малко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pStyle w:val="Heading1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ED0D99">
        <w:rPr>
          <w:rFonts w:ascii="Times New Roman" w:hAnsi="Times New Roman" w:cs="Times New Roman"/>
          <w:b w:val="0"/>
          <w:color w:val="032232"/>
          <w:sz w:val="28"/>
          <w:szCs w:val="28"/>
        </w:rPr>
        <w:t xml:space="preserve"> </w:t>
      </w:r>
    </w:p>
    <w:p w:rsidR="00541D98" w:rsidRDefault="002A537B" w:rsidP="00ED0D99">
      <w:pPr>
        <w:spacing w:after="273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детство</w:t>
      </w:r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-</w:t>
      </w:r>
      <w:r w:rsidR="00ED0D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делят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споменахме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-</w:t>
      </w:r>
      <w:r w:rsidR="00ED0D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продиктувани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преживяното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емоционалното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носи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стадий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случаи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неговите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какво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притесняват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99" w:rsidRPr="00ED0D99" w:rsidRDefault="00ED0D99" w:rsidP="00ED0D99">
      <w:pPr>
        <w:spacing w:after="273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541D98" w:rsidRPr="00ED0D99" w:rsidRDefault="002A537B" w:rsidP="00ED0D99">
      <w:pPr>
        <w:numPr>
          <w:ilvl w:val="0"/>
          <w:numId w:val="1"/>
        </w:numPr>
        <w:spacing w:after="0" w:line="259" w:lineRule="auto"/>
        <w:ind w:hanging="2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lastRenderedPageBreak/>
        <w:t>Фобии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към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определени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животни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273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обикновенно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среща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годишна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такива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айлурофобия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котки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арахнофобия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паяци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пирофобия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змии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).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1"/>
        </w:numPr>
        <w:spacing w:after="0" w:line="259" w:lineRule="auto"/>
        <w:ind w:hanging="2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Фобии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къ</w:t>
      </w:r>
      <w:r w:rsidRPr="00ED0D9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определени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ситуации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273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първите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месеца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развитието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силни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шумове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началото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седмия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месец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навършване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първата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годинка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обикновенно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височини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айрофобия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неочакваното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примери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подобни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айхмофобия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остри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бронтофобия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гръмотевици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менофобия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останеш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никтофобия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тъмното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).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1"/>
        </w:numPr>
        <w:spacing w:after="0" w:line="259" w:lineRule="auto"/>
        <w:ind w:hanging="2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Социални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опасения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273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осмия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месец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развитието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</w:t>
      </w:r>
      <w:r w:rsidRPr="00ED0D99">
        <w:rPr>
          <w:rFonts w:ascii="Times New Roman" w:hAnsi="Times New Roman" w:cs="Times New Roman"/>
          <w:sz w:val="28"/>
          <w:szCs w:val="28"/>
        </w:rPr>
        <w:t>звива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непознати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ксенофобия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обкръжението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антрофобия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длъжни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опитат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предпазят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развият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порастване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Най</w:t>
      </w:r>
      <w:r w:rsidRPr="00ED0D99">
        <w:rPr>
          <w:rFonts w:ascii="Times New Roman" w:hAnsi="Times New Roman" w:cs="Times New Roman"/>
          <w:sz w:val="28"/>
          <w:szCs w:val="28"/>
        </w:rPr>
        <w:t>-</w:t>
      </w:r>
      <w:r w:rsidRPr="00ED0D99">
        <w:rPr>
          <w:rFonts w:ascii="Times New Roman" w:hAnsi="Times New Roman" w:cs="Times New Roman"/>
          <w:sz w:val="28"/>
          <w:szCs w:val="28"/>
        </w:rPr>
        <w:t>известната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разновидност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</w:t>
      </w:r>
      <w:r w:rsidRPr="00ED0D99">
        <w:rPr>
          <w:rFonts w:ascii="Times New Roman" w:hAnsi="Times New Roman" w:cs="Times New Roman"/>
          <w:sz w:val="28"/>
          <w:szCs w:val="28"/>
        </w:rPr>
        <w:t>траха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Психолози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установяват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тинейджъри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страдащи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дължи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напускането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разделянето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семейства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1"/>
        </w:numPr>
        <w:spacing w:after="0" w:line="259" w:lineRule="auto"/>
        <w:ind w:hanging="2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b/>
          <w:sz w:val="28"/>
          <w:szCs w:val="28"/>
        </w:rPr>
        <w:t>Агорафобия</w:t>
      </w:r>
      <w:proofErr w:type="spellEnd"/>
      <w:r w:rsidRPr="00ED0D99">
        <w:rPr>
          <w:rFonts w:ascii="Times New Roman" w:hAnsi="Times New Roman" w:cs="Times New Roman"/>
          <w:b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spacing w:after="279" w:line="238" w:lineRule="auto"/>
        <w:ind w:left="-5" w:right="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открити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обикновено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характерна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</w:t>
      </w:r>
      <w:r w:rsidRPr="00ED0D99">
        <w:rPr>
          <w:rFonts w:ascii="Times New Roman" w:hAnsi="Times New Roman" w:cs="Times New Roman"/>
          <w:sz w:val="28"/>
          <w:szCs w:val="28"/>
        </w:rPr>
        <w:t>ъзраст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четири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излизат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вкъщи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празнуват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организират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партита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извън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безопастния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pStyle w:val="Heading1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Преодоляване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ED0D99">
        <w:rPr>
          <w:rFonts w:ascii="Times New Roman" w:hAnsi="Times New Roman" w:cs="Times New Roman"/>
          <w:b w:val="0"/>
          <w:color w:val="032232"/>
          <w:sz w:val="28"/>
          <w:szCs w:val="28"/>
        </w:rPr>
        <w:t xml:space="preserve"> </w:t>
      </w:r>
    </w:p>
    <w:p w:rsidR="00541D98" w:rsidRPr="00ED0D99" w:rsidRDefault="002A537B" w:rsidP="00ED0D99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израстване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състояние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свои</w:t>
      </w:r>
      <w:r w:rsidRPr="00ED0D9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контролира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даден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състояние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начините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превъзмогне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моделиране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съзнанието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наблюдава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повечето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страхува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помисли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превъзмогне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изследване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поведението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Бандура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Грусек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Менлов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(1967),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където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осем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кратки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взеха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предучилищна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чийто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бяха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кучета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наблюдавали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поведението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играело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r w:rsidRPr="00ED0D9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куче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r w:rsidRPr="00ED0D99">
        <w:rPr>
          <w:rFonts w:ascii="Times New Roman" w:hAnsi="Times New Roman" w:cs="Times New Roman"/>
          <w:sz w:val="28"/>
          <w:szCs w:val="28"/>
        </w:rPr>
        <w:t>-</w:t>
      </w:r>
      <w:r w:rsidRPr="00ED0D99">
        <w:rPr>
          <w:rFonts w:ascii="Times New Roman" w:hAnsi="Times New Roman" w:cs="Times New Roman"/>
          <w:sz w:val="28"/>
          <w:szCs w:val="28"/>
        </w:rPr>
        <w:t>късно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започнали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превъзмогнат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систематични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десенсибилизации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постепенно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опознава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обекта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пораждащ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lastRenderedPageBreak/>
        <w:t>Морис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Краточвил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описаха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Тълкуване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детските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страхов</w:t>
      </w:r>
      <w:r w:rsidRPr="00ED0D9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какво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научили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: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Страхът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заучава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Вамопознанието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достатъчно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преодолее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терапията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страхът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вече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взет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>.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Старховете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фобиите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поведението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специфични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определена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D0D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лечението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набляга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настоящето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и </w:t>
      </w:r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98" w:rsidRPr="00ED0D99" w:rsidRDefault="002A537B" w:rsidP="00ED0D99">
      <w:pPr>
        <w:numPr>
          <w:ilvl w:val="0"/>
          <w:numId w:val="2"/>
        </w:numPr>
        <w:spacing w:after="335" w:line="238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Целта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терапията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специфична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Тъй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страха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индивидуална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конкретното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преодоляване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също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фокусирано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специфичния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единствен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уникален</w:t>
      </w:r>
      <w:proofErr w:type="spellEnd"/>
      <w:r w:rsidRPr="00ED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99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1D98" w:rsidRPr="00ED0D99" w:rsidRDefault="002A537B" w:rsidP="00ED0D99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41D98" w:rsidRPr="00ED0D99">
      <w:pgSz w:w="11900" w:h="16840"/>
      <w:pgMar w:top="1448" w:right="1409" w:bottom="16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3ADD"/>
    <w:multiLevelType w:val="hybridMultilevel"/>
    <w:tmpl w:val="D61A24C8"/>
    <w:lvl w:ilvl="0" w:tplc="813C4A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A39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A04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48C0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AC1C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C8D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FCF0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601A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6A7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D20DA1"/>
    <w:multiLevelType w:val="hybridMultilevel"/>
    <w:tmpl w:val="03726D4C"/>
    <w:lvl w:ilvl="0" w:tplc="89DC5EB8">
      <w:start w:val="1"/>
      <w:numFmt w:val="decimal"/>
      <w:lvlText w:val="%1."/>
      <w:lvlJc w:val="left"/>
      <w:pPr>
        <w:ind w:left="206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086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40CA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681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4C3B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C03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98BF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22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4B7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3223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98"/>
    <w:rsid w:val="002A537B"/>
    <w:rsid w:val="00541D98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2D495-65B0-477A-8654-3C0B6E7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32232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1" w:lineRule="auto"/>
      <w:ind w:left="10" w:hanging="10"/>
      <w:outlineLvl w:val="0"/>
    </w:pPr>
    <w:rPr>
      <w:rFonts w:ascii="Arial" w:eastAsia="Arial" w:hAnsi="Arial" w:cs="Arial"/>
      <w:b/>
      <w:color w:val="CD942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D94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Company>Toshiba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rumyana.kusheva@gmail.com</dc:creator>
  <cp:keywords/>
  <cp:lastModifiedBy>rumyana.kusheva@gmail.com</cp:lastModifiedBy>
  <cp:revision>3</cp:revision>
  <dcterms:created xsi:type="dcterms:W3CDTF">2019-02-12T13:28:00Z</dcterms:created>
  <dcterms:modified xsi:type="dcterms:W3CDTF">2019-02-12T13:28:00Z</dcterms:modified>
</cp:coreProperties>
</file>